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03E3" w:rsidRPr="00A317EC" w:rsidRDefault="00AD5A35" w:rsidP="006B534F">
      <w:pPr>
        <w:pStyle w:val="a8"/>
        <w:spacing w:line="400" w:lineRule="exact"/>
        <w:jc w:val="both"/>
        <w:rPr>
          <w:rFonts w:ascii="標楷體" w:eastAsia="標楷體" w:hAnsi="標楷體"/>
          <w:sz w:val="40"/>
        </w:rPr>
      </w:pPr>
      <w:bookmarkStart w:id="0" w:name="_GoBack"/>
      <w:bookmarkEnd w:id="0"/>
      <w:r w:rsidRPr="00A317EC">
        <w:rPr>
          <w:rFonts w:ascii="標楷體" w:eastAsia="標楷體" w:hAnsi="標楷體" w:hint="eastAsia"/>
          <w:sz w:val="40"/>
        </w:rPr>
        <w:t>修正</w:t>
      </w:r>
      <w:r w:rsidR="000626AF" w:rsidRPr="00A317EC">
        <w:rPr>
          <w:rFonts w:ascii="標楷體" w:eastAsia="標楷體" w:hAnsi="標楷體" w:hint="eastAsia"/>
          <w:sz w:val="40"/>
        </w:rPr>
        <w:t>行政院與所屬中央及地方各機關公務人員休假改進措施</w:t>
      </w:r>
      <w:r w:rsidR="00901C96" w:rsidRPr="00A317EC">
        <w:rPr>
          <w:rFonts w:ascii="標楷體" w:eastAsia="標楷體" w:hAnsi="標楷體" w:hint="eastAsia"/>
          <w:sz w:val="40"/>
        </w:rPr>
        <w:t>第</w:t>
      </w:r>
      <w:r w:rsidR="006B534F" w:rsidRPr="00A317EC">
        <w:rPr>
          <w:rFonts w:ascii="標楷體" w:eastAsia="標楷體" w:hAnsi="標楷體" w:hint="eastAsia"/>
          <w:sz w:val="40"/>
        </w:rPr>
        <w:t>五</w:t>
      </w:r>
      <w:r w:rsidR="00901C96" w:rsidRPr="00A317EC">
        <w:rPr>
          <w:rFonts w:ascii="標楷體" w:eastAsia="標楷體" w:hAnsi="標楷體" w:hint="eastAsia"/>
          <w:sz w:val="40"/>
        </w:rPr>
        <w:t>點</w:t>
      </w:r>
    </w:p>
    <w:p w:rsidR="00D17835" w:rsidRPr="00462999" w:rsidRDefault="00D17835" w:rsidP="00FE5A3A">
      <w:pPr>
        <w:pStyle w:val="a8"/>
        <w:wordWrap w:val="0"/>
        <w:spacing w:line="400" w:lineRule="exact"/>
        <w:jc w:val="right"/>
        <w:rPr>
          <w:rFonts w:ascii="標楷體" w:eastAsia="標楷體" w:hAnsi="標楷體"/>
          <w:sz w:val="20"/>
        </w:rPr>
      </w:pPr>
      <w:r w:rsidRPr="00462999">
        <w:rPr>
          <w:rFonts w:ascii="標楷體" w:eastAsia="標楷體" w:hAnsi="標楷體" w:hint="eastAsia"/>
          <w:sz w:val="20"/>
        </w:rPr>
        <w:t>行政院10</w:t>
      </w:r>
      <w:r w:rsidR="00374A49">
        <w:rPr>
          <w:rFonts w:ascii="標楷體" w:eastAsia="標楷體" w:hAnsi="標楷體" w:hint="eastAsia"/>
          <w:sz w:val="20"/>
        </w:rPr>
        <w:t>7</w:t>
      </w:r>
      <w:r w:rsidRPr="00462999">
        <w:rPr>
          <w:rFonts w:ascii="標楷體" w:eastAsia="標楷體" w:hAnsi="標楷體" w:hint="eastAsia"/>
          <w:sz w:val="20"/>
        </w:rPr>
        <w:t>年</w:t>
      </w:r>
      <w:r w:rsidR="007A3A40">
        <w:rPr>
          <w:rFonts w:ascii="標楷體" w:eastAsia="標楷體" w:hAnsi="標楷體" w:hint="eastAsia"/>
          <w:sz w:val="20"/>
        </w:rPr>
        <w:t>5</w:t>
      </w:r>
      <w:r w:rsidRPr="00462999">
        <w:rPr>
          <w:rFonts w:ascii="標楷體" w:eastAsia="標楷體" w:hAnsi="標楷體" w:hint="eastAsia"/>
          <w:sz w:val="20"/>
        </w:rPr>
        <w:t>月</w:t>
      </w:r>
      <w:r w:rsidR="007A3A40">
        <w:rPr>
          <w:rFonts w:ascii="標楷體" w:eastAsia="標楷體" w:hAnsi="標楷體" w:hint="eastAsia"/>
          <w:sz w:val="20"/>
        </w:rPr>
        <w:t>18</w:t>
      </w:r>
      <w:r w:rsidR="00172C6A" w:rsidRPr="00462999">
        <w:rPr>
          <w:rFonts w:ascii="標楷體" w:eastAsia="標楷體" w:hAnsi="標楷體" w:hint="eastAsia"/>
          <w:sz w:val="20"/>
        </w:rPr>
        <w:t>日院授人培</w:t>
      </w:r>
      <w:r w:rsidRPr="00462999">
        <w:rPr>
          <w:rFonts w:ascii="標楷體" w:eastAsia="標楷體" w:hAnsi="標楷體" w:hint="eastAsia"/>
          <w:sz w:val="20"/>
        </w:rPr>
        <w:t>字第</w:t>
      </w:r>
      <w:r w:rsidR="0077015B" w:rsidRPr="002E3D55">
        <w:rPr>
          <w:rFonts w:ascii="標楷體" w:eastAsia="標楷體" w:hAnsi="標楷體"/>
          <w:sz w:val="20"/>
        </w:rPr>
        <w:t>10</w:t>
      </w:r>
      <w:r w:rsidR="00374A49" w:rsidRPr="002E3D55">
        <w:rPr>
          <w:rFonts w:ascii="標楷體" w:eastAsia="標楷體" w:hAnsi="標楷體"/>
          <w:sz w:val="20"/>
        </w:rPr>
        <w:t>7</w:t>
      </w:r>
      <w:r w:rsidR="002E3D55" w:rsidRPr="005E2E6A">
        <w:rPr>
          <w:rFonts w:ascii="標楷體" w:eastAsia="標楷體" w:hAnsi="標楷體"/>
          <w:sz w:val="20"/>
        </w:rPr>
        <w:t>0041397</w:t>
      </w:r>
      <w:r w:rsidRPr="00462999">
        <w:rPr>
          <w:rFonts w:ascii="標楷體" w:eastAsia="標楷體" w:hAnsi="標楷體" w:hint="eastAsia"/>
          <w:sz w:val="20"/>
        </w:rPr>
        <w:t>號函修正</w:t>
      </w:r>
    </w:p>
    <w:p w:rsidR="00586385" w:rsidRPr="00586385" w:rsidRDefault="00586385" w:rsidP="00586385">
      <w:pPr>
        <w:snapToGrid w:val="0"/>
        <w:spacing w:line="460" w:lineRule="exact"/>
        <w:ind w:left="560" w:hangingChars="200" w:hanging="560"/>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五、</w:t>
      </w:r>
      <w:r w:rsidR="00150967" w:rsidRPr="00150967">
        <w:rPr>
          <w:rFonts w:ascii="標楷體" w:eastAsia="標楷體" w:hAnsi="標楷體" w:cs="新細明體" w:hint="eastAsia"/>
          <w:kern w:val="0"/>
          <w:sz w:val="28"/>
          <w:szCs w:val="28"/>
        </w:rPr>
        <w:t>為鼓勵公務人員利用休假從事正當休閒旅遊及藝文活動，振興觀光旅遊產業，各機關對於所屬公務人員請國內休假者，應按下列方式核發休假補助費；所需費用，於各機關預算之人事費等相關經費項下勻支</w:t>
      </w:r>
      <w:r w:rsidR="00150967">
        <w:rPr>
          <w:rFonts w:ascii="標楷體" w:eastAsia="標楷體" w:hAnsi="標楷體" w:cs="新細明體" w:hint="eastAsia"/>
          <w:kern w:val="0"/>
          <w:sz w:val="28"/>
          <w:szCs w:val="28"/>
        </w:rPr>
        <w:t>：</w:t>
      </w:r>
    </w:p>
    <w:p w:rsidR="00586385" w:rsidRPr="00586385" w:rsidRDefault="00586385" w:rsidP="00586385">
      <w:pPr>
        <w:numPr>
          <w:ilvl w:val="0"/>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應休畢日數（十四日以內）之休假部分：</w:t>
      </w:r>
    </w:p>
    <w:p w:rsidR="00586385" w:rsidRPr="00586385" w:rsidRDefault="00586385" w:rsidP="00586385">
      <w:pPr>
        <w:numPr>
          <w:ilvl w:val="1"/>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公務人員每人全年合計補助總額最高以新臺幣一萬六千元為限。但未具休假十四日資格者，其全年最高補助總額按所具休假日數，以每日新臺幣一千一百四十三元計算。</w:t>
      </w:r>
    </w:p>
    <w:p w:rsidR="00586385" w:rsidRPr="00586385" w:rsidRDefault="00586385" w:rsidP="00586385">
      <w:pPr>
        <w:numPr>
          <w:ilvl w:val="1"/>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前目補助總額分為自行運用額度及</w:t>
      </w:r>
      <w:r w:rsidR="0046289A">
        <w:rPr>
          <w:rFonts w:ascii="標楷體" w:eastAsia="標楷體" w:hAnsi="標楷體" w:cs="新細明體" w:hint="eastAsia"/>
          <w:kern w:val="0"/>
          <w:sz w:val="28"/>
          <w:szCs w:val="28"/>
        </w:rPr>
        <w:t>觀光旅遊</w:t>
      </w:r>
      <w:r w:rsidRPr="00586385">
        <w:rPr>
          <w:rFonts w:ascii="標楷體" w:eastAsia="標楷體" w:hAnsi="標楷體" w:cs="新細明體" w:hint="eastAsia"/>
          <w:kern w:val="0"/>
          <w:sz w:val="28"/>
          <w:szCs w:val="28"/>
        </w:rPr>
        <w:t>額度，其補助方式如下：</w:t>
      </w:r>
    </w:p>
    <w:p w:rsidR="00586385" w:rsidRPr="00586385" w:rsidRDefault="00586385" w:rsidP="00586385">
      <w:pPr>
        <w:pStyle w:val="ab"/>
        <w:snapToGrid w:val="0"/>
        <w:spacing w:line="460" w:lineRule="exact"/>
        <w:ind w:leftChars="300" w:left="1140" w:hangingChars="150" w:hanging="420"/>
        <w:rPr>
          <w:rFonts w:ascii="標楷體" w:eastAsia="標楷體" w:hAnsi="標楷體" w:cs="新細明體"/>
          <w:kern w:val="0"/>
          <w:sz w:val="28"/>
          <w:szCs w:val="28"/>
        </w:rPr>
      </w:pPr>
      <w:r>
        <w:rPr>
          <w:rFonts w:ascii="標楷體" w:eastAsia="標楷體" w:hAnsi="標楷體" w:cs="新細明體" w:hint="eastAsia"/>
          <w:kern w:val="0"/>
          <w:sz w:val="28"/>
          <w:szCs w:val="28"/>
        </w:rPr>
        <w:t>(1)</w:t>
      </w:r>
      <w:r w:rsidRPr="00586385">
        <w:rPr>
          <w:rFonts w:ascii="標楷體" w:eastAsia="標楷體" w:hAnsi="標楷體" w:cs="新細明體" w:hint="eastAsia"/>
          <w:kern w:val="0"/>
          <w:sz w:val="28"/>
          <w:szCs w:val="28"/>
        </w:rPr>
        <w:t>自行運用額度：公務人員應於休假期間，持國民旅遊卡至交通部觀光局（以下簡稱觀光局）</w:t>
      </w:r>
      <w:r w:rsidR="00F4105D">
        <w:rPr>
          <w:rFonts w:ascii="標楷體" w:eastAsia="標楷體" w:hAnsi="標楷體" w:cs="新細明體" w:hint="eastAsia"/>
          <w:kern w:val="0"/>
          <w:sz w:val="28"/>
          <w:szCs w:val="28"/>
        </w:rPr>
        <w:t>或其授權機構</w:t>
      </w:r>
      <w:r w:rsidRPr="00586385">
        <w:rPr>
          <w:rFonts w:ascii="標楷體" w:eastAsia="標楷體" w:hAnsi="標楷體" w:cs="新細明體" w:hint="eastAsia"/>
          <w:kern w:val="0"/>
          <w:sz w:val="28"/>
          <w:szCs w:val="28"/>
        </w:rPr>
        <w:t>審核通過之各行業別國民旅遊卡特約商店（業別及細項分類如附表）刷卡消費，始得按刷卡消費金額予以核實補助。</w:t>
      </w:r>
    </w:p>
    <w:p w:rsidR="00586385" w:rsidRPr="00586385" w:rsidRDefault="00586385" w:rsidP="00586385">
      <w:pPr>
        <w:pStyle w:val="ab"/>
        <w:snapToGrid w:val="0"/>
        <w:spacing w:line="460" w:lineRule="exact"/>
        <w:ind w:leftChars="300" w:left="1140" w:hangingChars="150" w:hanging="420"/>
        <w:rPr>
          <w:rFonts w:ascii="標楷體" w:eastAsia="標楷體" w:hAnsi="標楷體" w:cs="新細明體"/>
          <w:kern w:val="0"/>
          <w:sz w:val="28"/>
          <w:szCs w:val="28"/>
        </w:rPr>
      </w:pPr>
      <w:r>
        <w:rPr>
          <w:rFonts w:ascii="標楷體" w:eastAsia="標楷體" w:hAnsi="標楷體" w:cs="新細明體" w:hint="eastAsia"/>
          <w:kern w:val="0"/>
          <w:sz w:val="28"/>
          <w:szCs w:val="28"/>
        </w:rPr>
        <w:t>(2)</w:t>
      </w:r>
      <w:r w:rsidR="0046289A">
        <w:rPr>
          <w:rFonts w:ascii="標楷體" w:eastAsia="標楷體" w:hAnsi="標楷體" w:cs="新細明體" w:hint="eastAsia"/>
          <w:kern w:val="0"/>
          <w:sz w:val="28"/>
          <w:szCs w:val="28"/>
        </w:rPr>
        <w:t>觀光旅遊</w:t>
      </w:r>
      <w:r w:rsidRPr="00586385">
        <w:rPr>
          <w:rFonts w:ascii="標楷體" w:eastAsia="標楷體" w:hAnsi="標楷體" w:cs="新細明體" w:hint="eastAsia"/>
          <w:kern w:val="0"/>
          <w:sz w:val="28"/>
          <w:szCs w:val="28"/>
        </w:rPr>
        <w:t>額度：</w:t>
      </w:r>
      <w:r w:rsidR="001531AF" w:rsidRPr="001531AF">
        <w:rPr>
          <w:rFonts w:ascii="標楷體" w:eastAsia="標楷體" w:hAnsi="標楷體" w:cs="新細明體" w:hint="eastAsia"/>
          <w:kern w:val="0"/>
          <w:sz w:val="28"/>
          <w:szCs w:val="28"/>
        </w:rPr>
        <w:t>公務人員應於休假</w:t>
      </w:r>
      <w:r w:rsidR="00374A49">
        <w:rPr>
          <w:rFonts w:ascii="標楷體" w:eastAsia="標楷體" w:hAnsi="標楷體" w:cs="新細明體" w:hint="eastAsia"/>
          <w:kern w:val="0"/>
          <w:sz w:val="28"/>
          <w:szCs w:val="28"/>
        </w:rPr>
        <w:t>期間，持國民旅遊卡至觀光局審核通過之旅行業、旅宿業、觀光遊樂業或</w:t>
      </w:r>
      <w:r w:rsidR="001531AF" w:rsidRPr="001531AF">
        <w:rPr>
          <w:rFonts w:ascii="標楷體" w:eastAsia="標楷體" w:hAnsi="標楷體" w:cs="新細明體" w:hint="eastAsia"/>
          <w:kern w:val="0"/>
          <w:sz w:val="28"/>
          <w:szCs w:val="28"/>
        </w:rPr>
        <w:t>交通運輸業國民旅遊卡特約商店刷卡消費，始得按刷卡消費金額予以核實補助。</w:t>
      </w:r>
    </w:p>
    <w:p w:rsidR="00586385" w:rsidRPr="00586385" w:rsidRDefault="00586385" w:rsidP="00586385">
      <w:pPr>
        <w:numPr>
          <w:ilvl w:val="1"/>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公務人員當年所具休假資格在七日以下者，其補助總額均屬自行運用額度。</w:t>
      </w:r>
    </w:p>
    <w:p w:rsidR="00586385" w:rsidRPr="00586385" w:rsidRDefault="005E3B40" w:rsidP="005E3B40">
      <w:pPr>
        <w:numPr>
          <w:ilvl w:val="1"/>
          <w:numId w:val="2"/>
        </w:numPr>
        <w:snapToGrid w:val="0"/>
        <w:spacing w:line="460" w:lineRule="exact"/>
        <w:rPr>
          <w:rFonts w:ascii="標楷體" w:eastAsia="標楷體" w:hAnsi="標楷體" w:cs="新細明體"/>
          <w:kern w:val="0"/>
          <w:sz w:val="28"/>
          <w:szCs w:val="28"/>
        </w:rPr>
      </w:pPr>
      <w:r w:rsidRPr="005E3B40">
        <w:rPr>
          <w:rFonts w:ascii="標楷體" w:eastAsia="標楷體" w:hAnsi="標楷體" w:cs="新細明體" w:hint="eastAsia"/>
          <w:kern w:val="0"/>
          <w:sz w:val="28"/>
          <w:szCs w:val="28"/>
        </w:rPr>
        <w:t>公務人員當年所具休假資格逾七日者，補助總額中新臺幣八千元之額度屬</w:t>
      </w:r>
      <w:r w:rsidR="0046289A">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額度；</w:t>
      </w:r>
      <w:r w:rsidR="0046289A">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額度以外之補助額度屬自行運用額度。</w:t>
      </w:r>
    </w:p>
    <w:p w:rsidR="00586385" w:rsidRPr="00586385" w:rsidRDefault="005E3B40" w:rsidP="005E3B40">
      <w:pPr>
        <w:numPr>
          <w:ilvl w:val="1"/>
          <w:numId w:val="2"/>
        </w:numPr>
        <w:snapToGrid w:val="0"/>
        <w:spacing w:line="460" w:lineRule="exact"/>
        <w:rPr>
          <w:rFonts w:ascii="標楷體" w:eastAsia="標楷體" w:hAnsi="標楷體" w:cs="新細明體"/>
          <w:kern w:val="0"/>
          <w:sz w:val="28"/>
          <w:szCs w:val="28"/>
        </w:rPr>
      </w:pPr>
      <w:r w:rsidRPr="005E3B40">
        <w:rPr>
          <w:rFonts w:ascii="標楷體" w:eastAsia="標楷體" w:hAnsi="標楷體" w:cs="新細明體" w:hint="eastAsia"/>
          <w:kern w:val="0"/>
          <w:sz w:val="28"/>
          <w:szCs w:val="28"/>
        </w:rPr>
        <w:t>公務人員因身心障礙、懷孕或重大傷病，於當年確實無法參加</w:t>
      </w:r>
      <w:r w:rsidR="0046289A">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，經服務機關認定者，當年補助總額均屬自行運用額度。</w:t>
      </w:r>
    </w:p>
    <w:p w:rsidR="00586385" w:rsidRPr="00586385" w:rsidRDefault="001531AF" w:rsidP="001531AF">
      <w:pPr>
        <w:numPr>
          <w:ilvl w:val="1"/>
          <w:numId w:val="2"/>
        </w:numPr>
        <w:snapToGrid w:val="0"/>
        <w:spacing w:line="460" w:lineRule="exact"/>
        <w:rPr>
          <w:rFonts w:ascii="標楷體" w:eastAsia="標楷體" w:hAnsi="標楷體" w:cs="新細明體"/>
          <w:kern w:val="0"/>
          <w:sz w:val="28"/>
          <w:szCs w:val="28"/>
        </w:rPr>
      </w:pPr>
      <w:r w:rsidRPr="001531AF">
        <w:rPr>
          <w:rFonts w:ascii="標楷體" w:eastAsia="標楷體" w:hAnsi="標楷體" w:cs="新細明體" w:hint="eastAsia"/>
          <w:kern w:val="0"/>
          <w:sz w:val="28"/>
          <w:szCs w:val="28"/>
        </w:rPr>
        <w:t>休假期間及其相連假日之連續期間，於旅行業、旅宿業、觀光</w:t>
      </w:r>
      <w:r w:rsidRPr="001531AF">
        <w:rPr>
          <w:rFonts w:ascii="標楷體" w:eastAsia="標楷體" w:hAnsi="標楷體" w:cs="新細明體" w:hint="eastAsia"/>
          <w:kern w:val="0"/>
          <w:sz w:val="28"/>
          <w:szCs w:val="28"/>
        </w:rPr>
        <w:lastRenderedPageBreak/>
        <w:t>遊樂業</w:t>
      </w:r>
      <w:r w:rsidR="00374A49">
        <w:rPr>
          <w:rFonts w:ascii="標楷體" w:eastAsia="標楷體" w:hAnsi="標楷體" w:cs="新細明體" w:hint="eastAsia"/>
          <w:kern w:val="0"/>
          <w:sz w:val="28"/>
          <w:szCs w:val="28"/>
        </w:rPr>
        <w:t>或</w:t>
      </w:r>
      <w:r w:rsidRPr="001531AF">
        <w:rPr>
          <w:rFonts w:ascii="標楷體" w:eastAsia="標楷體" w:hAnsi="標楷體" w:cs="新細明體" w:hint="eastAsia"/>
          <w:kern w:val="0"/>
          <w:sz w:val="28"/>
          <w:szCs w:val="28"/>
        </w:rPr>
        <w:t>交通運輸業刷卡消費者，其與該休假期間相連之假日於各行業別國民旅遊卡特約商店刷卡之消費，得按其行業別分別核實併入觀光旅遊額度或自行運用額度之補助範圍。</w:t>
      </w:r>
    </w:p>
    <w:p w:rsidR="00586385" w:rsidRPr="00586385" w:rsidRDefault="001531AF" w:rsidP="001531AF">
      <w:pPr>
        <w:numPr>
          <w:ilvl w:val="1"/>
          <w:numId w:val="2"/>
        </w:numPr>
        <w:snapToGrid w:val="0"/>
        <w:spacing w:line="460" w:lineRule="exact"/>
        <w:rPr>
          <w:rFonts w:ascii="標楷體" w:eastAsia="標楷體" w:hAnsi="標楷體" w:cs="新細明體"/>
          <w:kern w:val="0"/>
          <w:sz w:val="28"/>
          <w:szCs w:val="28"/>
        </w:rPr>
      </w:pPr>
      <w:r w:rsidRPr="001531AF">
        <w:rPr>
          <w:rFonts w:ascii="標楷體" w:eastAsia="標楷體" w:hAnsi="標楷體" w:cs="新細明體" w:hint="eastAsia"/>
          <w:kern w:val="0"/>
          <w:sz w:val="28"/>
          <w:szCs w:val="28"/>
        </w:rPr>
        <w:t>符合第二目請領休假補助者，其休假期間前後一日於交通運輸業或加油站國民旅遊卡特約商店刷卡消費之交通費用，得按其行業別分別核實併入觀光旅遊額度或自行運用額度之補助範圍。</w:t>
      </w:r>
    </w:p>
    <w:p w:rsidR="00B44BE8" w:rsidRPr="00172C6A" w:rsidRDefault="00586385" w:rsidP="00A317EC">
      <w:pPr>
        <w:numPr>
          <w:ilvl w:val="0"/>
          <w:numId w:val="2"/>
        </w:numPr>
        <w:snapToGrid w:val="0"/>
        <w:spacing w:line="460" w:lineRule="exact"/>
        <w:ind w:left="975" w:hanging="833"/>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應休畢日數以外之休假部分：按日支給休假補助費新臺幣六百元；未達一日者，按日折半支給，於年終一併結算。</w:t>
      </w:r>
    </w:p>
    <w:p w:rsidR="00B44BE8" w:rsidRPr="006B534F" w:rsidRDefault="00B44BE8" w:rsidP="00B44BE8">
      <w:pPr>
        <w:ind w:left="851"/>
        <w:rPr>
          <w:rFonts w:ascii="標楷體" w:eastAsia="標楷體" w:hAnsi="標楷體" w:cs="新細明體"/>
          <w:kern w:val="0"/>
        </w:rPr>
      </w:pPr>
    </w:p>
    <w:p w:rsidR="00970CA4" w:rsidRDefault="00901C96" w:rsidP="00970CA4">
      <w:pPr>
        <w:rPr>
          <w:rFonts w:ascii="標楷體" w:eastAsia="標楷體" w:hAnsi="標楷體" w:cs="新細明體"/>
          <w:kern w:val="0"/>
        </w:rPr>
      </w:pPr>
      <w:r>
        <w:rPr>
          <w:rFonts w:ascii="標楷體" w:eastAsia="標楷體" w:hAnsi="標楷體" w:cs="新細明體"/>
          <w:kern w:val="0"/>
        </w:rPr>
        <w:br w:type="page"/>
      </w:r>
      <w:r w:rsidR="00970CA4">
        <w:rPr>
          <w:rFonts w:ascii="標楷體" w:eastAsia="標楷體" w:hAnsi="標楷體" w:cs="新細明體"/>
          <w:kern w:val="0"/>
        </w:rPr>
        <w:lastRenderedPageBreak/>
        <w:t>附表：國民旅遊卡特約商店業別及細項分類表</w:t>
      </w:r>
    </w:p>
    <w:tbl>
      <w:tblPr>
        <w:tblW w:w="9123" w:type="dxa"/>
        <w:jc w:val="center"/>
        <w:tblCellMar>
          <w:left w:w="10" w:type="dxa"/>
          <w:right w:w="10" w:type="dxa"/>
        </w:tblCellMar>
        <w:tblLook w:val="0000" w:firstRow="0" w:lastRow="0" w:firstColumn="0" w:lastColumn="0" w:noHBand="0" w:noVBand="0"/>
      </w:tblPr>
      <w:tblGrid>
        <w:gridCol w:w="709"/>
        <w:gridCol w:w="1688"/>
        <w:gridCol w:w="6726"/>
      </w:tblGrid>
      <w:tr w:rsidR="005E25A1" w:rsidTr="005E25A1">
        <w:trPr>
          <w:trHeight w:val="682"/>
          <w:jc w:val="center"/>
        </w:trPr>
        <w:tc>
          <w:tcPr>
            <w:tcW w:w="2397" w:type="dxa"/>
            <w:gridSpan w:val="2"/>
            <w:tcBorders>
              <w:top w:val="single" w:sz="12" w:space="0" w:color="000000"/>
              <w:left w:val="single" w:sz="12" w:space="0" w:color="000000"/>
              <w:bottom w:val="single" w:sz="8" w:space="0" w:color="000000"/>
              <w:right w:val="single" w:sz="8" w:space="0" w:color="000000"/>
            </w:tcBorders>
          </w:tcPr>
          <w:p w:rsidR="005E25A1" w:rsidRDefault="005E25A1" w:rsidP="003B3F53">
            <w:pPr>
              <w:widowControl/>
              <w:spacing w:before="100" w:after="100" w:line="300" w:lineRule="atLeast"/>
              <w:jc w:val="center"/>
            </w:pPr>
            <w:r>
              <w:rPr>
                <w:rFonts w:ascii="標楷體" w:eastAsia="標楷體" w:hAnsi="標楷體" w:cs="新細明體"/>
                <w:kern w:val="0"/>
              </w:rPr>
              <w:t>業  別</w:t>
            </w:r>
          </w:p>
        </w:tc>
        <w:tc>
          <w:tcPr>
            <w:tcW w:w="6726" w:type="dxa"/>
            <w:tcBorders>
              <w:top w:val="single" w:sz="12" w:space="0" w:color="000000"/>
              <w:bottom w:val="single" w:sz="8" w:space="0" w:color="000000"/>
              <w:right w:val="single" w:sz="12" w:space="0" w:color="000000"/>
            </w:tcBorders>
            <w:shd w:val="clear" w:color="auto" w:fill="auto"/>
            <w:tcMar>
              <w:top w:w="57" w:type="dxa"/>
              <w:left w:w="108" w:type="dxa"/>
              <w:bottom w:w="57" w:type="dxa"/>
              <w:right w:w="108" w:type="dxa"/>
            </w:tcMar>
            <w:vAlign w:val="center"/>
          </w:tcPr>
          <w:p w:rsidR="005E25A1" w:rsidRDefault="005E25A1" w:rsidP="003B3F53">
            <w:pPr>
              <w:widowControl/>
              <w:spacing w:before="100" w:after="100" w:line="300" w:lineRule="atLeast"/>
              <w:jc w:val="center"/>
            </w:pPr>
            <w:r>
              <w:rPr>
                <w:rFonts w:ascii="標楷體" w:eastAsia="標楷體" w:hAnsi="標楷體" w:cs="新細明體"/>
                <w:kern w:val="0"/>
              </w:rPr>
              <w:t>細項分類</w:t>
            </w:r>
          </w:p>
        </w:tc>
      </w:tr>
      <w:tr w:rsidR="005E25A1" w:rsidTr="005E25A1">
        <w:trPr>
          <w:cantSplit/>
          <w:trHeight w:val="763"/>
          <w:jc w:val="center"/>
        </w:trPr>
        <w:tc>
          <w:tcPr>
            <w:tcW w:w="709" w:type="dxa"/>
            <w:vMerge w:val="restart"/>
            <w:tcBorders>
              <w:left w:val="single" w:sz="12" w:space="0" w:color="000000"/>
              <w:right w:val="single" w:sz="8" w:space="0" w:color="000000"/>
            </w:tcBorders>
            <w:vAlign w:val="center"/>
          </w:tcPr>
          <w:p w:rsidR="005E25A1" w:rsidRDefault="005E25A1" w:rsidP="005E25A1">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觀</w:t>
            </w:r>
          </w:p>
          <w:p w:rsidR="005E25A1" w:rsidRDefault="005E25A1" w:rsidP="005E25A1">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光</w:t>
            </w:r>
          </w:p>
          <w:p w:rsidR="005E25A1" w:rsidRDefault="005E25A1" w:rsidP="005E25A1">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旅</w:t>
            </w:r>
          </w:p>
          <w:p w:rsidR="005E25A1" w:rsidRDefault="005E25A1" w:rsidP="005E25A1">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遊</w:t>
            </w:r>
          </w:p>
          <w:p w:rsidR="005E25A1" w:rsidRDefault="005E25A1" w:rsidP="005E25A1">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業</w:t>
            </w:r>
          </w:p>
          <w:p w:rsidR="005E25A1" w:rsidRDefault="005E25A1" w:rsidP="005E25A1">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別</w:t>
            </w:r>
          </w:p>
        </w:tc>
        <w:tc>
          <w:tcPr>
            <w:tcW w:w="1688" w:type="dxa"/>
            <w:tcBorders>
              <w:left w:val="single" w:sz="12" w:space="0" w:color="000000"/>
              <w:bottom w:val="single" w:sz="8" w:space="0" w:color="000000"/>
              <w:right w:val="single" w:sz="8" w:space="0" w:color="000000"/>
            </w:tcBorders>
            <w:shd w:val="clear" w:color="auto" w:fill="auto"/>
            <w:tcMar>
              <w:top w:w="57" w:type="dxa"/>
              <w:left w:w="108" w:type="dxa"/>
              <w:bottom w:w="57" w:type="dxa"/>
              <w:right w:w="108" w:type="dxa"/>
            </w:tcMar>
            <w:vAlign w:val="center"/>
          </w:tcPr>
          <w:p w:rsidR="005E25A1" w:rsidRDefault="005E25A1" w:rsidP="003B3F53">
            <w:pPr>
              <w:widowControl/>
              <w:spacing w:before="100" w:after="100" w:line="300" w:lineRule="atLeast"/>
              <w:jc w:val="both"/>
            </w:pPr>
            <w:r>
              <w:rPr>
                <w:rFonts w:ascii="標楷體" w:eastAsia="標楷體" w:hAnsi="標楷體" w:cs="新細明體"/>
                <w:kern w:val="0"/>
              </w:rPr>
              <w:t>旅行業</w:t>
            </w:r>
          </w:p>
        </w:tc>
        <w:tc>
          <w:tcPr>
            <w:tcW w:w="6726" w:type="dxa"/>
            <w:tcBorders>
              <w:bottom w:val="single" w:sz="8" w:space="0" w:color="000000"/>
              <w:right w:val="single" w:sz="12" w:space="0" w:color="000000"/>
            </w:tcBorders>
            <w:shd w:val="clear" w:color="auto" w:fill="auto"/>
            <w:tcMar>
              <w:top w:w="57" w:type="dxa"/>
              <w:left w:w="108" w:type="dxa"/>
              <w:bottom w:w="57" w:type="dxa"/>
              <w:right w:w="108" w:type="dxa"/>
            </w:tcMar>
            <w:vAlign w:val="center"/>
          </w:tcPr>
          <w:p w:rsidR="005E25A1" w:rsidRDefault="005E25A1" w:rsidP="003B3F53">
            <w:pPr>
              <w:widowControl/>
              <w:spacing w:before="100" w:after="100" w:line="300" w:lineRule="atLeast"/>
              <w:jc w:val="both"/>
            </w:pPr>
            <w:r>
              <w:rPr>
                <w:rFonts w:ascii="標楷體" w:eastAsia="標楷體" w:hAnsi="標楷體" w:cs="新細明體"/>
                <w:kern w:val="0"/>
              </w:rPr>
              <w:t>旅行社</w:t>
            </w:r>
          </w:p>
        </w:tc>
      </w:tr>
      <w:tr w:rsidR="005E25A1" w:rsidTr="006F1DCF">
        <w:trPr>
          <w:cantSplit/>
          <w:jc w:val="center"/>
        </w:trPr>
        <w:tc>
          <w:tcPr>
            <w:tcW w:w="709" w:type="dxa"/>
            <w:vMerge/>
            <w:tcBorders>
              <w:left w:val="single" w:sz="12" w:space="0" w:color="000000"/>
              <w:right w:val="single" w:sz="8" w:space="0" w:color="000000"/>
            </w:tcBorders>
          </w:tcPr>
          <w:p w:rsidR="005E25A1" w:rsidRDefault="005E25A1" w:rsidP="003B3F53">
            <w:pPr>
              <w:widowControl/>
              <w:spacing w:before="100" w:after="100" w:line="300" w:lineRule="atLeast"/>
              <w:rPr>
                <w:rFonts w:ascii="標楷體" w:eastAsia="標楷體" w:hAnsi="標楷體" w:cs="新細明體"/>
                <w:kern w:val="0"/>
              </w:rPr>
            </w:pPr>
          </w:p>
        </w:tc>
        <w:tc>
          <w:tcPr>
            <w:tcW w:w="1688" w:type="dxa"/>
            <w:tcBorders>
              <w:left w:val="single" w:sz="12" w:space="0" w:color="000000"/>
              <w:bottom w:val="single" w:sz="8" w:space="0" w:color="000000"/>
              <w:right w:val="single" w:sz="8" w:space="0" w:color="000000"/>
            </w:tcBorders>
            <w:shd w:val="clear" w:color="auto" w:fill="auto"/>
            <w:tcMar>
              <w:top w:w="57" w:type="dxa"/>
              <w:left w:w="108" w:type="dxa"/>
              <w:bottom w:w="57" w:type="dxa"/>
              <w:right w:w="108" w:type="dxa"/>
            </w:tcMar>
            <w:vAlign w:val="center"/>
          </w:tcPr>
          <w:p w:rsidR="005E25A1" w:rsidRDefault="005E25A1" w:rsidP="003B3F53">
            <w:pPr>
              <w:widowControl/>
              <w:spacing w:before="100" w:after="100" w:line="300" w:lineRule="atLeast"/>
            </w:pPr>
            <w:r>
              <w:rPr>
                <w:rFonts w:ascii="標楷體" w:eastAsia="標楷體" w:hAnsi="標楷體" w:cs="新細明體"/>
                <w:kern w:val="0"/>
              </w:rPr>
              <w:t>旅宿業</w:t>
            </w:r>
          </w:p>
        </w:tc>
        <w:tc>
          <w:tcPr>
            <w:tcW w:w="6726" w:type="dxa"/>
            <w:tcBorders>
              <w:bottom w:val="single" w:sz="8" w:space="0" w:color="000000"/>
              <w:right w:val="single" w:sz="12" w:space="0" w:color="000000"/>
            </w:tcBorders>
            <w:shd w:val="clear" w:color="auto" w:fill="auto"/>
            <w:tcMar>
              <w:top w:w="57" w:type="dxa"/>
              <w:left w:w="108" w:type="dxa"/>
              <w:bottom w:w="57" w:type="dxa"/>
              <w:right w:w="108" w:type="dxa"/>
            </w:tcMar>
          </w:tcPr>
          <w:p w:rsidR="005E25A1" w:rsidRDefault="005E25A1" w:rsidP="003B3F53">
            <w:pPr>
              <w:widowControl/>
              <w:spacing w:before="100" w:after="100" w:line="300" w:lineRule="atLeast"/>
              <w:jc w:val="both"/>
            </w:pPr>
            <w:r>
              <w:rPr>
                <w:rFonts w:ascii="標楷體" w:eastAsia="標楷體" w:hAnsi="標楷體" w:cs="新細明體"/>
                <w:kern w:val="0"/>
              </w:rPr>
              <w:t>旅宿業、民宿業、郵購(網購)旅館、一般旅館業、觀光旅館業、其他住宿服務業</w:t>
            </w:r>
          </w:p>
        </w:tc>
      </w:tr>
      <w:tr w:rsidR="005E25A1" w:rsidTr="006F1DCF">
        <w:trPr>
          <w:cantSplit/>
          <w:jc w:val="center"/>
        </w:trPr>
        <w:tc>
          <w:tcPr>
            <w:tcW w:w="709" w:type="dxa"/>
            <w:vMerge/>
            <w:tcBorders>
              <w:left w:val="single" w:sz="12" w:space="0" w:color="000000"/>
              <w:right w:val="single" w:sz="8" w:space="0" w:color="000000"/>
            </w:tcBorders>
          </w:tcPr>
          <w:p w:rsidR="005E25A1" w:rsidRDefault="005E25A1" w:rsidP="003B3F53">
            <w:pPr>
              <w:widowControl/>
              <w:spacing w:before="100" w:after="100" w:line="300" w:lineRule="atLeast"/>
              <w:rPr>
                <w:rFonts w:ascii="標楷體" w:eastAsia="標楷體" w:hAnsi="標楷體" w:cs="新細明體"/>
                <w:kern w:val="0"/>
              </w:rPr>
            </w:pPr>
          </w:p>
        </w:tc>
        <w:tc>
          <w:tcPr>
            <w:tcW w:w="1688" w:type="dxa"/>
            <w:tcBorders>
              <w:left w:val="single" w:sz="12" w:space="0" w:color="000000"/>
              <w:bottom w:val="single" w:sz="8" w:space="0" w:color="000000"/>
              <w:right w:val="single" w:sz="8" w:space="0" w:color="000000"/>
            </w:tcBorders>
            <w:shd w:val="clear" w:color="auto" w:fill="auto"/>
            <w:tcMar>
              <w:top w:w="57" w:type="dxa"/>
              <w:left w:w="108" w:type="dxa"/>
              <w:bottom w:w="57" w:type="dxa"/>
              <w:right w:w="108" w:type="dxa"/>
            </w:tcMar>
            <w:vAlign w:val="center"/>
          </w:tcPr>
          <w:p w:rsidR="005E25A1" w:rsidRDefault="005E25A1" w:rsidP="003B3F53">
            <w:pPr>
              <w:widowControl/>
              <w:spacing w:before="100" w:after="100" w:line="300" w:lineRule="atLeast"/>
            </w:pPr>
            <w:r>
              <w:rPr>
                <w:rFonts w:ascii="標楷體" w:eastAsia="標楷體" w:hAnsi="標楷體" w:cs="新細明體"/>
                <w:kern w:val="0"/>
              </w:rPr>
              <w:t>觀光遊樂業</w:t>
            </w:r>
          </w:p>
        </w:tc>
        <w:tc>
          <w:tcPr>
            <w:tcW w:w="6726" w:type="dxa"/>
            <w:tcBorders>
              <w:bottom w:val="single" w:sz="8" w:space="0" w:color="000000"/>
              <w:right w:val="single" w:sz="12" w:space="0" w:color="000000"/>
            </w:tcBorders>
            <w:shd w:val="clear" w:color="auto" w:fill="auto"/>
            <w:tcMar>
              <w:top w:w="57" w:type="dxa"/>
              <w:left w:w="108" w:type="dxa"/>
              <w:bottom w:w="57" w:type="dxa"/>
              <w:right w:w="108" w:type="dxa"/>
            </w:tcMar>
          </w:tcPr>
          <w:p w:rsidR="005E25A1" w:rsidRDefault="005E25A1" w:rsidP="003B3F53">
            <w:pPr>
              <w:widowControl/>
              <w:spacing w:before="100" w:after="100" w:line="300" w:lineRule="atLeast"/>
              <w:jc w:val="both"/>
            </w:pPr>
            <w:r>
              <w:rPr>
                <w:rFonts w:ascii="標楷體" w:eastAsia="標楷體" w:hAnsi="標楷體" w:cs="新細明體"/>
                <w:kern w:val="0"/>
              </w:rPr>
              <w:t>觀光遊樂業、遊樂園業、</w:t>
            </w:r>
            <w:r>
              <w:rPr>
                <w:rFonts w:ascii="標楷體" w:eastAsia="標楷體" w:hAnsi="標楷體" w:cs="新細明體"/>
                <w:color w:val="000000"/>
                <w:kern w:val="0"/>
              </w:rPr>
              <w:t>森林遊樂業、休閒農場(園)、觀光果(茶)園、</w:t>
            </w:r>
            <w:r>
              <w:rPr>
                <w:rFonts w:ascii="標楷體" w:eastAsia="標楷體" w:hAnsi="標楷體" w:cs="新細明體"/>
                <w:kern w:val="0"/>
              </w:rPr>
              <w:t>生態教育農園、其他觀光遊樂業</w:t>
            </w:r>
          </w:p>
        </w:tc>
      </w:tr>
      <w:tr w:rsidR="005E25A1" w:rsidTr="005E25A1">
        <w:trPr>
          <w:cantSplit/>
          <w:jc w:val="center"/>
        </w:trPr>
        <w:tc>
          <w:tcPr>
            <w:tcW w:w="709" w:type="dxa"/>
            <w:vMerge/>
            <w:tcBorders>
              <w:left w:val="single" w:sz="12" w:space="0" w:color="000000"/>
              <w:bottom w:val="single" w:sz="8" w:space="0" w:color="000000"/>
              <w:right w:val="single" w:sz="8" w:space="0" w:color="000000"/>
            </w:tcBorders>
          </w:tcPr>
          <w:p w:rsidR="005E25A1" w:rsidRDefault="005E25A1" w:rsidP="003B3F53">
            <w:pPr>
              <w:widowControl/>
              <w:spacing w:before="100" w:after="100" w:line="300" w:lineRule="atLeast"/>
              <w:rPr>
                <w:rFonts w:ascii="標楷體" w:eastAsia="標楷體" w:hAnsi="標楷體" w:cs="新細明體"/>
                <w:kern w:val="0"/>
              </w:rPr>
            </w:pPr>
          </w:p>
        </w:tc>
        <w:tc>
          <w:tcPr>
            <w:tcW w:w="1688" w:type="dxa"/>
            <w:tcBorders>
              <w:left w:val="single" w:sz="12" w:space="0" w:color="000000"/>
              <w:bottom w:val="single" w:sz="8" w:space="0" w:color="000000"/>
              <w:right w:val="single" w:sz="8" w:space="0" w:color="000000"/>
            </w:tcBorders>
            <w:shd w:val="clear" w:color="auto" w:fill="auto"/>
            <w:tcMar>
              <w:top w:w="57" w:type="dxa"/>
              <w:left w:w="108" w:type="dxa"/>
              <w:bottom w:w="57" w:type="dxa"/>
              <w:right w:w="108" w:type="dxa"/>
            </w:tcMar>
            <w:vAlign w:val="center"/>
          </w:tcPr>
          <w:p w:rsidR="005E25A1" w:rsidRDefault="005E25A1" w:rsidP="003B3F53">
            <w:pPr>
              <w:widowControl/>
              <w:spacing w:before="100" w:after="100" w:line="300" w:lineRule="atLeast"/>
            </w:pPr>
            <w:r>
              <w:rPr>
                <w:rFonts w:ascii="標楷體" w:eastAsia="標楷體" w:hAnsi="標楷體" w:cs="新細明體"/>
                <w:kern w:val="0"/>
              </w:rPr>
              <w:t>交通運輸業</w:t>
            </w:r>
          </w:p>
        </w:tc>
        <w:tc>
          <w:tcPr>
            <w:tcW w:w="6726" w:type="dxa"/>
            <w:tcBorders>
              <w:bottom w:val="single" w:sz="8" w:space="0" w:color="000000"/>
              <w:right w:val="single" w:sz="12" w:space="0" w:color="000000"/>
            </w:tcBorders>
            <w:shd w:val="clear" w:color="auto" w:fill="auto"/>
            <w:tcMar>
              <w:top w:w="57" w:type="dxa"/>
              <w:left w:w="108" w:type="dxa"/>
              <w:bottom w:w="57" w:type="dxa"/>
              <w:right w:w="108" w:type="dxa"/>
            </w:tcMar>
          </w:tcPr>
          <w:p w:rsidR="005E25A1" w:rsidRDefault="005E25A1" w:rsidP="003B3F53">
            <w:pPr>
              <w:widowControl/>
              <w:spacing w:before="100" w:after="100" w:line="300" w:lineRule="atLeast"/>
              <w:jc w:val="both"/>
            </w:pPr>
            <w:r>
              <w:rPr>
                <w:rFonts w:ascii="標楷體" w:eastAsia="標楷體" w:hAnsi="標楷體" w:cs="新細明體"/>
                <w:kern w:val="0"/>
              </w:rPr>
              <w:t>交通運輸業、停車場業</w:t>
            </w:r>
            <w:r>
              <w:rPr>
                <w:rFonts w:ascii="標楷體" w:eastAsia="標楷體" w:hAnsi="標楷體" w:cs="新細明體"/>
                <w:color w:val="C0C0C0"/>
                <w:kern w:val="0"/>
              </w:rPr>
              <w:t>、</w:t>
            </w:r>
            <w:r>
              <w:rPr>
                <w:rFonts w:ascii="標楷體" w:eastAsia="標楷體" w:hAnsi="標楷體" w:cs="新細明體"/>
                <w:color w:val="000000"/>
                <w:kern w:val="0"/>
              </w:rPr>
              <w:t>交通工具租賃業</w:t>
            </w:r>
            <w:r>
              <w:rPr>
                <w:rFonts w:ascii="標楷體" w:eastAsia="標楷體" w:hAnsi="標楷體" w:cs="新細明體"/>
                <w:kern w:val="0"/>
              </w:rPr>
              <w:t>、民用航空運輸業、海洋水運業、一般汽車客運業、計程車、鐵路運輸業、郵購(網購)交通運輸業、其他運輸輔助業</w:t>
            </w:r>
          </w:p>
        </w:tc>
      </w:tr>
      <w:tr w:rsidR="005E25A1" w:rsidTr="005E25A1">
        <w:trPr>
          <w:cantSplit/>
          <w:trHeight w:val="806"/>
          <w:jc w:val="center"/>
        </w:trPr>
        <w:tc>
          <w:tcPr>
            <w:tcW w:w="2397" w:type="dxa"/>
            <w:gridSpan w:val="2"/>
            <w:tcBorders>
              <w:left w:val="single" w:sz="12" w:space="0" w:color="000000"/>
              <w:bottom w:val="single" w:sz="12" w:space="0" w:color="000000"/>
              <w:right w:val="single" w:sz="8" w:space="0" w:color="000000"/>
            </w:tcBorders>
            <w:vAlign w:val="center"/>
          </w:tcPr>
          <w:p w:rsidR="005E25A1" w:rsidRPr="0039331D" w:rsidRDefault="009B43AF" w:rsidP="005E25A1">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其他</w:t>
            </w:r>
            <w:r w:rsidR="005E25A1" w:rsidRPr="0039331D">
              <w:rPr>
                <w:rFonts w:ascii="標楷體" w:eastAsia="標楷體" w:hAnsi="標楷體" w:cs="新細明體"/>
                <w:kern w:val="0"/>
              </w:rPr>
              <w:t>業別</w:t>
            </w:r>
          </w:p>
        </w:tc>
        <w:tc>
          <w:tcPr>
            <w:tcW w:w="6726" w:type="dxa"/>
            <w:tcBorders>
              <w:bottom w:val="single" w:sz="12" w:space="0" w:color="000000"/>
              <w:right w:val="single" w:sz="12" w:space="0" w:color="000000"/>
            </w:tcBorders>
            <w:shd w:val="clear" w:color="auto" w:fill="auto"/>
            <w:tcMar>
              <w:top w:w="57" w:type="dxa"/>
              <w:left w:w="108" w:type="dxa"/>
              <w:bottom w:w="57" w:type="dxa"/>
              <w:right w:w="108" w:type="dxa"/>
            </w:tcMar>
          </w:tcPr>
          <w:p w:rsidR="005E25A1" w:rsidRPr="00CC5257" w:rsidRDefault="00B777B5" w:rsidP="00D9443E">
            <w:pPr>
              <w:widowControl/>
              <w:spacing w:before="100" w:after="100" w:line="300" w:lineRule="atLeast"/>
              <w:jc w:val="both"/>
              <w:rPr>
                <w:rFonts w:ascii="標楷體" w:eastAsia="標楷體" w:hAnsi="標楷體" w:cs="新細明體"/>
                <w:color w:val="000000"/>
                <w:kern w:val="0"/>
              </w:rPr>
            </w:pPr>
            <w:r w:rsidRPr="00CC5257">
              <w:rPr>
                <w:rFonts w:ascii="標楷體" w:eastAsia="標楷體" w:hAnsi="標楷體" w:cs="新細明體" w:hint="eastAsia"/>
                <w:color w:val="000000"/>
                <w:kern w:val="0"/>
              </w:rPr>
              <w:t>指除觀光旅遊業別、珠寶銀樓及「公務員廉政倫理規範」第</w:t>
            </w:r>
            <w:r w:rsidR="00D9443E">
              <w:rPr>
                <w:rFonts w:ascii="標楷體" w:eastAsia="標楷體" w:hAnsi="標楷體" w:cs="新細明體" w:hint="eastAsia"/>
                <w:color w:val="000000"/>
                <w:kern w:val="0"/>
              </w:rPr>
              <w:t>八</w:t>
            </w:r>
            <w:r w:rsidRPr="00CC5257">
              <w:rPr>
                <w:rFonts w:ascii="標楷體" w:eastAsia="標楷體" w:hAnsi="標楷體" w:cs="新細明體" w:hint="eastAsia"/>
                <w:color w:val="000000"/>
                <w:kern w:val="0"/>
              </w:rPr>
              <w:t>點所稱不妥當場所外之各行業別</w:t>
            </w:r>
          </w:p>
        </w:tc>
      </w:tr>
    </w:tbl>
    <w:p w:rsidR="00970CA4" w:rsidRDefault="00970CA4" w:rsidP="00970CA4">
      <w:pPr>
        <w:rPr>
          <w:rFonts w:ascii="標楷體" w:eastAsia="標楷體" w:hAnsi="標楷體" w:cs="新細明體"/>
          <w:kern w:val="0"/>
        </w:rPr>
      </w:pPr>
    </w:p>
    <w:p w:rsidR="00D02251" w:rsidRDefault="00970CA4" w:rsidP="00970CA4">
      <w:pPr>
        <w:rPr>
          <w:rFonts w:ascii="標楷體" w:eastAsia="標楷體" w:hAnsi="標楷體" w:cs="新細明體"/>
          <w:kern w:val="0"/>
        </w:rPr>
      </w:pPr>
      <w:r>
        <w:rPr>
          <w:rFonts w:ascii="標楷體" w:eastAsia="標楷體" w:hAnsi="標楷體" w:cs="新細明體"/>
          <w:kern w:val="0"/>
        </w:rPr>
        <w:t>附註：</w:t>
      </w:r>
    </w:p>
    <w:p w:rsidR="00970CA4" w:rsidRPr="00D02251" w:rsidRDefault="00970CA4" w:rsidP="00DB0AB8">
      <w:pPr>
        <w:pStyle w:val="ab"/>
        <w:numPr>
          <w:ilvl w:val="0"/>
          <w:numId w:val="7"/>
        </w:numPr>
        <w:ind w:leftChars="150" w:left="644" w:hanging="284"/>
        <w:rPr>
          <w:rFonts w:ascii="標楷體" w:eastAsia="標楷體" w:hAnsi="標楷體" w:cs="新細明體"/>
          <w:kern w:val="0"/>
        </w:rPr>
      </w:pPr>
      <w:r w:rsidRPr="00D02251">
        <w:rPr>
          <w:rFonts w:ascii="標楷體" w:eastAsia="標楷體" w:hAnsi="標楷體" w:cs="新細明體"/>
          <w:kern w:val="0"/>
        </w:rPr>
        <w:t>各行業別之刷卡消費均核實補助。</w:t>
      </w:r>
    </w:p>
    <w:p w:rsidR="00D02251" w:rsidRPr="00D02251" w:rsidRDefault="00D02251" w:rsidP="00DB0AB8">
      <w:pPr>
        <w:pStyle w:val="ab"/>
        <w:numPr>
          <w:ilvl w:val="0"/>
          <w:numId w:val="7"/>
        </w:numPr>
        <w:ind w:leftChars="150" w:left="644" w:hanging="284"/>
        <w:rPr>
          <w:rFonts w:ascii="標楷體" w:eastAsia="標楷體" w:hAnsi="標楷體" w:cs="新細明體"/>
          <w:kern w:val="0"/>
        </w:rPr>
      </w:pPr>
      <w:r w:rsidRPr="00D02251">
        <w:rPr>
          <w:rFonts w:ascii="標楷體" w:eastAsia="標楷體" w:hAnsi="標楷體" w:cs="新細明體" w:hint="eastAsia"/>
          <w:color w:val="000000"/>
          <w:kern w:val="0"/>
        </w:rPr>
        <w:t>儲值性商品不得列入補助範圍。</w:t>
      </w:r>
    </w:p>
    <w:p w:rsidR="00193F99" w:rsidRDefault="00193F99" w:rsidP="00970CA4">
      <w:pPr>
        <w:rPr>
          <w:rFonts w:ascii="標楷體" w:eastAsia="標楷體" w:hAnsi="標楷體" w:cs="新細明體"/>
          <w:kern w:val="0"/>
        </w:rPr>
      </w:pPr>
    </w:p>
    <w:p w:rsidR="003E0F74" w:rsidRPr="003E0F74" w:rsidRDefault="003E0F74" w:rsidP="00970CA4">
      <w:pPr>
        <w:rPr>
          <w:rFonts w:ascii="標楷體" w:eastAsia="標楷體" w:hAnsi="標楷體" w:cs="新細明體"/>
          <w:b/>
          <w:kern w:val="0"/>
        </w:rPr>
      </w:pPr>
    </w:p>
    <w:sectPr w:rsidR="003E0F74" w:rsidRPr="003E0F74" w:rsidSect="00771F33">
      <w:pgSz w:w="11906" w:h="16838"/>
      <w:pgMar w:top="1247" w:right="1531" w:bottom="1247"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00F6" w:rsidRDefault="005200F6" w:rsidP="00DA03B5">
      <w:r>
        <w:separator/>
      </w:r>
    </w:p>
  </w:endnote>
  <w:endnote w:type="continuationSeparator" w:id="0">
    <w:p w:rsidR="005200F6" w:rsidRDefault="005200F6" w:rsidP="00DA0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全真中明體">
    <w:altName w:val="Arial Unicode MS"/>
    <w:charset w:val="88"/>
    <w:family w:val="modern"/>
    <w:pitch w:val="fixed"/>
    <w:sig w:usb0="00000000" w:usb1="08080000" w:usb2="00000010" w:usb3="00000000" w:csb0="00100000" w:csb1="00000000"/>
  </w:font>
  <w:font w:name="全真粗黑體">
    <w:altName w:val="Arial Unicode MS"/>
    <w:charset w:val="88"/>
    <w:family w:val="modern"/>
    <w:pitch w:val="fixed"/>
    <w:sig w:usb0="00000000"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00F6" w:rsidRDefault="005200F6" w:rsidP="00DA03B5">
      <w:r>
        <w:separator/>
      </w:r>
    </w:p>
  </w:footnote>
  <w:footnote w:type="continuationSeparator" w:id="0">
    <w:p w:rsidR="005200F6" w:rsidRDefault="005200F6" w:rsidP="00DA03B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0402C"/>
    <w:multiLevelType w:val="hybridMultilevel"/>
    <w:tmpl w:val="5BEAA042"/>
    <w:lvl w:ilvl="0" w:tplc="5CD845C0">
      <w:start w:val="1"/>
      <w:numFmt w:val="taiwaneseCountingThousand"/>
      <w:suff w:val="nothing"/>
      <w:lvlText w:val="（%1）"/>
      <w:lvlJc w:val="left"/>
      <w:pPr>
        <w:ind w:left="862" w:hanging="720"/>
      </w:pPr>
      <w:rPr>
        <w:rFonts w:hint="default"/>
      </w:rPr>
    </w:lvl>
    <w:lvl w:ilvl="1" w:tplc="0409000F">
      <w:start w:val="1"/>
      <w:numFmt w:val="decimal"/>
      <w:lvlText w:val="%2."/>
      <w:lvlJc w:val="left"/>
      <w:pPr>
        <w:tabs>
          <w:tab w:val="num" w:pos="1102"/>
        </w:tabs>
        <w:ind w:left="1102" w:hanging="480"/>
      </w:pPr>
    </w:lvl>
    <w:lvl w:ilvl="2" w:tplc="A3E0588C">
      <w:start w:val="1"/>
      <w:numFmt w:val="decimalFullWidth"/>
      <w:suff w:val="nothing"/>
      <w:lvlText w:val="（%3）"/>
      <w:lvlJc w:val="left"/>
      <w:pPr>
        <w:ind w:left="1582" w:hanging="480"/>
      </w:pPr>
      <w:rPr>
        <w:rFonts w:hint="eastAsia"/>
        <w:sz w:val="28"/>
        <w:lang w:val="en-US"/>
      </w:rPr>
    </w:lvl>
    <w:lvl w:ilvl="3" w:tplc="0409000F" w:tentative="1">
      <w:start w:val="1"/>
      <w:numFmt w:val="decimal"/>
      <w:lvlText w:val="%4."/>
      <w:lvlJc w:val="left"/>
      <w:pPr>
        <w:tabs>
          <w:tab w:val="num" w:pos="2062"/>
        </w:tabs>
        <w:ind w:left="2062" w:hanging="480"/>
      </w:pPr>
    </w:lvl>
    <w:lvl w:ilvl="4" w:tplc="04090019" w:tentative="1">
      <w:start w:val="1"/>
      <w:numFmt w:val="ideographTraditional"/>
      <w:lvlText w:val="%5、"/>
      <w:lvlJc w:val="left"/>
      <w:pPr>
        <w:tabs>
          <w:tab w:val="num" w:pos="2542"/>
        </w:tabs>
        <w:ind w:left="2542" w:hanging="480"/>
      </w:pPr>
    </w:lvl>
    <w:lvl w:ilvl="5" w:tplc="0409001B" w:tentative="1">
      <w:start w:val="1"/>
      <w:numFmt w:val="lowerRoman"/>
      <w:lvlText w:val="%6."/>
      <w:lvlJc w:val="right"/>
      <w:pPr>
        <w:tabs>
          <w:tab w:val="num" w:pos="3022"/>
        </w:tabs>
        <w:ind w:left="3022" w:hanging="480"/>
      </w:pPr>
    </w:lvl>
    <w:lvl w:ilvl="6" w:tplc="0409000F" w:tentative="1">
      <w:start w:val="1"/>
      <w:numFmt w:val="decimal"/>
      <w:lvlText w:val="%7."/>
      <w:lvlJc w:val="left"/>
      <w:pPr>
        <w:tabs>
          <w:tab w:val="num" w:pos="3502"/>
        </w:tabs>
        <w:ind w:left="3502" w:hanging="480"/>
      </w:pPr>
    </w:lvl>
    <w:lvl w:ilvl="7" w:tplc="04090019" w:tentative="1">
      <w:start w:val="1"/>
      <w:numFmt w:val="ideographTraditional"/>
      <w:lvlText w:val="%8、"/>
      <w:lvlJc w:val="left"/>
      <w:pPr>
        <w:tabs>
          <w:tab w:val="num" w:pos="3982"/>
        </w:tabs>
        <w:ind w:left="3982" w:hanging="480"/>
      </w:pPr>
    </w:lvl>
    <w:lvl w:ilvl="8" w:tplc="0409001B" w:tentative="1">
      <w:start w:val="1"/>
      <w:numFmt w:val="lowerRoman"/>
      <w:lvlText w:val="%9."/>
      <w:lvlJc w:val="right"/>
      <w:pPr>
        <w:tabs>
          <w:tab w:val="num" w:pos="4462"/>
        </w:tabs>
        <w:ind w:left="4462" w:hanging="480"/>
      </w:pPr>
    </w:lvl>
  </w:abstractNum>
  <w:abstractNum w:abstractNumId="1" w15:restartNumberingAfterBreak="0">
    <w:nsid w:val="17721EB9"/>
    <w:multiLevelType w:val="hybridMultilevel"/>
    <w:tmpl w:val="AAC85B54"/>
    <w:lvl w:ilvl="0" w:tplc="80F479D0">
      <w:start w:val="1"/>
      <w:numFmt w:val="decimal"/>
      <w:lvlText w:val="（%1）"/>
      <w:lvlJc w:val="left"/>
      <w:pPr>
        <w:tabs>
          <w:tab w:val="num" w:pos="1620"/>
        </w:tabs>
        <w:ind w:left="1620" w:hanging="720"/>
      </w:pPr>
      <w:rPr>
        <w:rFonts w:hint="default"/>
      </w:r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2" w15:restartNumberingAfterBreak="0">
    <w:nsid w:val="38AE38F3"/>
    <w:multiLevelType w:val="hybridMultilevel"/>
    <w:tmpl w:val="2DEE8548"/>
    <w:lvl w:ilvl="0" w:tplc="B9126EA4">
      <w:start w:val="1"/>
      <w:numFmt w:val="taiwaneseCountingThousand"/>
      <w:lvlText w:val="%1、"/>
      <w:lvlJc w:val="left"/>
      <w:pPr>
        <w:tabs>
          <w:tab w:val="num" w:pos="1020"/>
        </w:tabs>
        <w:ind w:left="1020" w:hanging="480"/>
      </w:pPr>
      <w:rPr>
        <w:rFonts w:hint="default"/>
        <w:lang w:val="en-US"/>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3" w15:restartNumberingAfterBreak="0">
    <w:nsid w:val="4ECF1D1E"/>
    <w:multiLevelType w:val="hybridMultilevel"/>
    <w:tmpl w:val="4BF2E4D8"/>
    <w:lvl w:ilvl="0" w:tplc="174C0284">
      <w:start w:val="1"/>
      <w:numFmt w:val="taiwaneseCountingThousand"/>
      <w:lvlText w:val="（%1）"/>
      <w:lvlJc w:val="left"/>
      <w:pPr>
        <w:tabs>
          <w:tab w:val="num" w:pos="900"/>
        </w:tabs>
        <w:ind w:left="900" w:hanging="720"/>
      </w:pPr>
      <w:rPr>
        <w:rFonts w:hint="default"/>
      </w:rPr>
    </w:lvl>
    <w:lvl w:ilvl="1" w:tplc="C3369706">
      <w:start w:val="1"/>
      <w:numFmt w:val="decimal"/>
      <w:lvlText w:val="%2."/>
      <w:lvlJc w:val="left"/>
      <w:pPr>
        <w:tabs>
          <w:tab w:val="num" w:pos="1020"/>
        </w:tabs>
        <w:ind w:left="1020" w:hanging="360"/>
      </w:pPr>
      <w:rPr>
        <w:rFonts w:hint="default"/>
      </w:r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4" w15:restartNumberingAfterBreak="0">
    <w:nsid w:val="5BEE105D"/>
    <w:multiLevelType w:val="hybridMultilevel"/>
    <w:tmpl w:val="E396B51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AB32FF4"/>
    <w:multiLevelType w:val="hybridMultilevel"/>
    <w:tmpl w:val="D1A2C14E"/>
    <w:lvl w:ilvl="0" w:tplc="6CA68FB6">
      <w:start w:val="1"/>
      <w:numFmt w:val="decimal"/>
      <w:lvlText w:val="%1."/>
      <w:lvlJc w:val="left"/>
      <w:pPr>
        <w:tabs>
          <w:tab w:val="num" w:pos="1260"/>
        </w:tabs>
        <w:ind w:left="1260" w:hanging="360"/>
      </w:pPr>
      <w:rPr>
        <w:rFonts w:hint="default"/>
      </w:r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6" w15:restartNumberingAfterBreak="0">
    <w:nsid w:val="6F2B0BAC"/>
    <w:multiLevelType w:val="hybridMultilevel"/>
    <w:tmpl w:val="C4E86FF2"/>
    <w:lvl w:ilvl="0" w:tplc="528C18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5"/>
  </w:num>
  <w:num w:numId="4">
    <w:abstractNumId w:val="1"/>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3E3"/>
    <w:rsid w:val="00000D15"/>
    <w:rsid w:val="000626AF"/>
    <w:rsid w:val="000832B8"/>
    <w:rsid w:val="00083442"/>
    <w:rsid w:val="001250DB"/>
    <w:rsid w:val="00150967"/>
    <w:rsid w:val="001531AF"/>
    <w:rsid w:val="001615CD"/>
    <w:rsid w:val="00172C6A"/>
    <w:rsid w:val="00193F99"/>
    <w:rsid w:val="002235F2"/>
    <w:rsid w:val="0024638C"/>
    <w:rsid w:val="00291016"/>
    <w:rsid w:val="002A03F8"/>
    <w:rsid w:val="002C006A"/>
    <w:rsid w:val="002E3D55"/>
    <w:rsid w:val="003371DB"/>
    <w:rsid w:val="003376E7"/>
    <w:rsid w:val="00337B21"/>
    <w:rsid w:val="00374A49"/>
    <w:rsid w:val="0039331D"/>
    <w:rsid w:val="003B5F8F"/>
    <w:rsid w:val="003E0F74"/>
    <w:rsid w:val="00421C11"/>
    <w:rsid w:val="004454A0"/>
    <w:rsid w:val="0046289A"/>
    <w:rsid w:val="00462999"/>
    <w:rsid w:val="0047275E"/>
    <w:rsid w:val="004F6837"/>
    <w:rsid w:val="004F6F06"/>
    <w:rsid w:val="00503415"/>
    <w:rsid w:val="005200F6"/>
    <w:rsid w:val="005274C9"/>
    <w:rsid w:val="00541353"/>
    <w:rsid w:val="00564BC4"/>
    <w:rsid w:val="00566BFA"/>
    <w:rsid w:val="00586385"/>
    <w:rsid w:val="00594D61"/>
    <w:rsid w:val="005C1070"/>
    <w:rsid w:val="005E1B54"/>
    <w:rsid w:val="005E25A1"/>
    <w:rsid w:val="005E2E6A"/>
    <w:rsid w:val="005E3B40"/>
    <w:rsid w:val="005F50B7"/>
    <w:rsid w:val="006050F5"/>
    <w:rsid w:val="00620AE5"/>
    <w:rsid w:val="006A7CC1"/>
    <w:rsid w:val="006B534F"/>
    <w:rsid w:val="006F73BC"/>
    <w:rsid w:val="007674DB"/>
    <w:rsid w:val="0077015B"/>
    <w:rsid w:val="00771F33"/>
    <w:rsid w:val="007A3A40"/>
    <w:rsid w:val="007D03E3"/>
    <w:rsid w:val="007F3FBF"/>
    <w:rsid w:val="008765D4"/>
    <w:rsid w:val="008E4875"/>
    <w:rsid w:val="008F6B47"/>
    <w:rsid w:val="00901C96"/>
    <w:rsid w:val="009120AE"/>
    <w:rsid w:val="00913AA2"/>
    <w:rsid w:val="00913C63"/>
    <w:rsid w:val="00930D5F"/>
    <w:rsid w:val="00951A5C"/>
    <w:rsid w:val="009577AE"/>
    <w:rsid w:val="00970CA4"/>
    <w:rsid w:val="009763CB"/>
    <w:rsid w:val="009B43AF"/>
    <w:rsid w:val="00A317EC"/>
    <w:rsid w:val="00A5530D"/>
    <w:rsid w:val="00A57283"/>
    <w:rsid w:val="00A646F1"/>
    <w:rsid w:val="00A81C8E"/>
    <w:rsid w:val="00A85B2D"/>
    <w:rsid w:val="00AC02E1"/>
    <w:rsid w:val="00AD5A35"/>
    <w:rsid w:val="00AE4D2F"/>
    <w:rsid w:val="00AE5C2B"/>
    <w:rsid w:val="00AF1838"/>
    <w:rsid w:val="00AF1FE8"/>
    <w:rsid w:val="00AF3B6A"/>
    <w:rsid w:val="00B00A59"/>
    <w:rsid w:val="00B44BE8"/>
    <w:rsid w:val="00B777B5"/>
    <w:rsid w:val="00BC4741"/>
    <w:rsid w:val="00BE46BA"/>
    <w:rsid w:val="00C47C3E"/>
    <w:rsid w:val="00C6605F"/>
    <w:rsid w:val="00C76989"/>
    <w:rsid w:val="00C82EF0"/>
    <w:rsid w:val="00CC154C"/>
    <w:rsid w:val="00CC419E"/>
    <w:rsid w:val="00CC5257"/>
    <w:rsid w:val="00CE1D4C"/>
    <w:rsid w:val="00D02251"/>
    <w:rsid w:val="00D17835"/>
    <w:rsid w:val="00D35CA8"/>
    <w:rsid w:val="00D9443E"/>
    <w:rsid w:val="00DA03B5"/>
    <w:rsid w:val="00DB0AB8"/>
    <w:rsid w:val="00DB6F1D"/>
    <w:rsid w:val="00EA7C1D"/>
    <w:rsid w:val="00EC1A74"/>
    <w:rsid w:val="00F3030B"/>
    <w:rsid w:val="00F4105D"/>
    <w:rsid w:val="00F72C58"/>
    <w:rsid w:val="00F94517"/>
    <w:rsid w:val="00FB10C9"/>
    <w:rsid w:val="00FD49DE"/>
    <w:rsid w:val="00FE5A3A"/>
    <w:rsid w:val="00FF0D6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7C2436F-7266-4F2D-BD0D-C746EDD15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7D03E3"/>
    <w:pPr>
      <w:widowControl/>
      <w:spacing w:before="100" w:beforeAutospacing="1" w:after="100" w:afterAutospacing="1"/>
    </w:pPr>
    <w:rPr>
      <w:rFonts w:ascii="新細明體" w:hAnsi="新細明體" w:cs="新細明體"/>
      <w:kern w:val="0"/>
    </w:rPr>
  </w:style>
  <w:style w:type="paragraph" w:styleId="a3">
    <w:name w:val="header"/>
    <w:basedOn w:val="a"/>
    <w:link w:val="a4"/>
    <w:rsid w:val="00DA03B5"/>
    <w:pPr>
      <w:tabs>
        <w:tab w:val="center" w:pos="4153"/>
        <w:tab w:val="right" w:pos="8306"/>
      </w:tabs>
      <w:snapToGrid w:val="0"/>
    </w:pPr>
    <w:rPr>
      <w:sz w:val="20"/>
      <w:szCs w:val="20"/>
    </w:rPr>
  </w:style>
  <w:style w:type="character" w:customStyle="1" w:styleId="a4">
    <w:name w:val="頁首 字元"/>
    <w:link w:val="a3"/>
    <w:rsid w:val="00DA03B5"/>
    <w:rPr>
      <w:kern w:val="2"/>
    </w:rPr>
  </w:style>
  <w:style w:type="paragraph" w:styleId="a5">
    <w:name w:val="footer"/>
    <w:basedOn w:val="a"/>
    <w:link w:val="a6"/>
    <w:rsid w:val="00DA03B5"/>
    <w:pPr>
      <w:tabs>
        <w:tab w:val="center" w:pos="4153"/>
        <w:tab w:val="right" w:pos="8306"/>
      </w:tabs>
      <w:snapToGrid w:val="0"/>
    </w:pPr>
    <w:rPr>
      <w:sz w:val="20"/>
      <w:szCs w:val="20"/>
    </w:rPr>
  </w:style>
  <w:style w:type="character" w:customStyle="1" w:styleId="a6">
    <w:name w:val="頁尾 字元"/>
    <w:link w:val="a5"/>
    <w:rsid w:val="00DA03B5"/>
    <w:rPr>
      <w:kern w:val="2"/>
    </w:rPr>
  </w:style>
  <w:style w:type="paragraph" w:customStyle="1" w:styleId="a7">
    <w:name w:val="函日期"/>
    <w:rsid w:val="000626AF"/>
    <w:pPr>
      <w:tabs>
        <w:tab w:val="left" w:pos="1440"/>
      </w:tabs>
      <w:spacing w:line="200" w:lineRule="exact"/>
      <w:ind w:left="1560" w:right="227" w:hanging="142"/>
      <w:jc w:val="both"/>
    </w:pPr>
    <w:rPr>
      <w:rFonts w:eastAsia="全真中明體"/>
      <w:sz w:val="14"/>
    </w:rPr>
  </w:style>
  <w:style w:type="paragraph" w:customStyle="1" w:styleId="a8">
    <w:name w:val="法規名"/>
    <w:rsid w:val="000626AF"/>
    <w:pPr>
      <w:spacing w:before="120" w:after="120"/>
      <w:jc w:val="center"/>
    </w:pPr>
    <w:rPr>
      <w:rFonts w:ascii="全真粗黑體" w:eastAsia="全真粗黑體"/>
      <w:sz w:val="32"/>
    </w:rPr>
  </w:style>
  <w:style w:type="paragraph" w:styleId="a9">
    <w:name w:val="Balloon Text"/>
    <w:basedOn w:val="a"/>
    <w:link w:val="aa"/>
    <w:rsid w:val="008E4875"/>
    <w:rPr>
      <w:rFonts w:asciiTheme="majorHAnsi" w:eastAsiaTheme="majorEastAsia" w:hAnsiTheme="majorHAnsi" w:cstheme="majorBidi"/>
      <w:sz w:val="18"/>
      <w:szCs w:val="18"/>
    </w:rPr>
  </w:style>
  <w:style w:type="character" w:customStyle="1" w:styleId="aa">
    <w:name w:val="註解方塊文字 字元"/>
    <w:basedOn w:val="a0"/>
    <w:link w:val="a9"/>
    <w:rsid w:val="008E4875"/>
    <w:rPr>
      <w:rFonts w:asciiTheme="majorHAnsi" w:eastAsiaTheme="majorEastAsia" w:hAnsiTheme="majorHAnsi" w:cstheme="majorBidi"/>
      <w:kern w:val="2"/>
      <w:sz w:val="18"/>
      <w:szCs w:val="18"/>
    </w:rPr>
  </w:style>
  <w:style w:type="paragraph" w:styleId="ab">
    <w:name w:val="List Paragraph"/>
    <w:basedOn w:val="a"/>
    <w:uiPriority w:val="34"/>
    <w:qFormat/>
    <w:rsid w:val="0058638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197149">
      <w:bodyDiv w:val="1"/>
      <w:marLeft w:val="0"/>
      <w:marRight w:val="0"/>
      <w:marTop w:val="0"/>
      <w:marBottom w:val="0"/>
      <w:divBdr>
        <w:top w:val="none" w:sz="0" w:space="0" w:color="auto"/>
        <w:left w:val="none" w:sz="0" w:space="0" w:color="auto"/>
        <w:bottom w:val="none" w:sz="0" w:space="0" w:color="auto"/>
        <w:right w:val="none" w:sz="0" w:space="0" w:color="auto"/>
      </w:divBdr>
    </w:div>
    <w:div w:id="722102054">
      <w:bodyDiv w:val="1"/>
      <w:marLeft w:val="0"/>
      <w:marRight w:val="0"/>
      <w:marTop w:val="0"/>
      <w:marBottom w:val="0"/>
      <w:divBdr>
        <w:top w:val="none" w:sz="0" w:space="0" w:color="auto"/>
        <w:left w:val="none" w:sz="0" w:space="0" w:color="auto"/>
        <w:bottom w:val="none" w:sz="0" w:space="0" w:color="auto"/>
        <w:right w:val="none" w:sz="0" w:space="0" w:color="auto"/>
      </w:divBdr>
    </w:div>
    <w:div w:id="990645826">
      <w:bodyDiv w:val="1"/>
      <w:marLeft w:val="0"/>
      <w:marRight w:val="0"/>
      <w:marTop w:val="0"/>
      <w:marBottom w:val="0"/>
      <w:divBdr>
        <w:top w:val="none" w:sz="0" w:space="0" w:color="auto"/>
        <w:left w:val="none" w:sz="0" w:space="0" w:color="auto"/>
        <w:bottom w:val="none" w:sz="0" w:space="0" w:color="auto"/>
        <w:right w:val="none" w:sz="0" w:space="0" w:color="auto"/>
      </w:divBdr>
    </w:div>
    <w:div w:id="1948809035">
      <w:bodyDiv w:val="1"/>
      <w:marLeft w:val="0"/>
      <w:marRight w:val="0"/>
      <w:marTop w:val="0"/>
      <w:marBottom w:val="0"/>
      <w:divBdr>
        <w:top w:val="none" w:sz="0" w:space="0" w:color="auto"/>
        <w:left w:val="none" w:sz="0" w:space="0" w:color="auto"/>
        <w:bottom w:val="none" w:sz="0" w:space="0" w:color="auto"/>
        <w:right w:val="none" w:sz="0" w:space="0" w:color="auto"/>
      </w:divBdr>
    </w:div>
    <w:div w:id="2066875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A0E531-769D-493D-9660-29EC3CD67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176</Words>
  <Characters>1004</Characters>
  <Application>Microsoft Office Word</Application>
  <DocSecurity>0</DocSecurity>
  <Lines>8</Lines>
  <Paragraphs>2</Paragraphs>
  <ScaleCrop>false</ScaleCrop>
  <Company>SYNNEX</Company>
  <LinksUpToDate>false</LinksUpToDate>
  <CharactersWithSpaces>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行政院與所屬中央及地方各機關公務人員休假改進措施</dc:title>
  <dc:creator>user</dc:creator>
  <cp:lastModifiedBy>LSJH</cp:lastModifiedBy>
  <cp:revision>2</cp:revision>
  <cp:lastPrinted>2018-04-11T06:32:00Z</cp:lastPrinted>
  <dcterms:created xsi:type="dcterms:W3CDTF">2018-05-21T07:00:00Z</dcterms:created>
  <dcterms:modified xsi:type="dcterms:W3CDTF">2018-05-21T07:00:00Z</dcterms:modified>
</cp:coreProperties>
</file>